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8E47" w14:textId="77777777" w:rsidR="00506C0F" w:rsidRPr="002D5145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145">
        <w:rPr>
          <w:rFonts w:ascii="Times New Roman" w:hAnsi="Times New Roman" w:cs="Times New Roman"/>
          <w:b/>
          <w:bCs/>
          <w:sz w:val="24"/>
          <w:szCs w:val="24"/>
        </w:rPr>
        <w:t>ANALISIS RASIO SOLVABILITAS DAN RASIO AKTIVITAS DALAM KINERJA KEUANGAN PADA PT BUKIT ASAM PERSERO TBK YANG TERDAFTAR DI BEI PERIODE 2020-2023</w:t>
      </w:r>
    </w:p>
    <w:p w14:paraId="4C85E9AC" w14:textId="77777777" w:rsidR="00506C0F" w:rsidRPr="002D5145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247F2" w14:textId="77777777" w:rsidR="00506C0F" w:rsidRPr="002D5145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145">
        <w:rPr>
          <w:rFonts w:ascii="Times New Roman" w:hAnsi="Times New Roman" w:cs="Times New Roman"/>
          <w:b/>
          <w:bCs/>
          <w:sz w:val="24"/>
          <w:szCs w:val="24"/>
        </w:rPr>
        <w:t>TARA ZAGITA</w:t>
      </w:r>
    </w:p>
    <w:p w14:paraId="7D6EEE4B" w14:textId="77777777" w:rsidR="00506C0F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145">
        <w:rPr>
          <w:rFonts w:ascii="Times New Roman" w:hAnsi="Times New Roman" w:cs="Times New Roman"/>
          <w:b/>
          <w:bCs/>
          <w:sz w:val="24"/>
          <w:szCs w:val="24"/>
        </w:rPr>
        <w:t>2020211007</w:t>
      </w:r>
    </w:p>
    <w:p w14:paraId="23B8BC38" w14:textId="77777777" w:rsidR="00506C0F" w:rsidRPr="002D5145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01196552" w14:textId="77777777" w:rsidR="00506C0F" w:rsidRPr="002D5145" w:rsidRDefault="00506C0F" w:rsidP="00506C0F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PT Bukit Asam Persero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solvabiitas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debt to assets ratio, debt to equity ratio,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long term debt to equity ratio, </w:t>
      </w:r>
      <w:r w:rsidRPr="002D514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inventory turnover </w:t>
      </w:r>
      <w:r w:rsidRPr="002D5145">
        <w:rPr>
          <w:rFonts w:ascii="Times New Roman" w:hAnsi="Times New Roman" w:cs="Times New Roman"/>
          <w:sz w:val="24"/>
          <w:szCs w:val="24"/>
        </w:rPr>
        <w:t xml:space="preserve">dan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fixed assets turnover.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PT Bukit Asam Persero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sempel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2020-2023. Metode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514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D5145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D5145">
        <w:rPr>
          <w:rFonts w:ascii="Times New Roman" w:hAnsi="Times New Roman" w:cs="Times New Roman"/>
          <w:sz w:val="24"/>
          <w:szCs w:val="24"/>
        </w:rPr>
        <w:t>ustaka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D5145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>.</w:t>
      </w:r>
    </w:p>
    <w:p w14:paraId="4650BE60" w14:textId="77777777" w:rsidR="00506C0F" w:rsidRPr="002D5145" w:rsidRDefault="00506C0F" w:rsidP="00506C0F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14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5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PT Bukit Asam Persero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debt to assets ratio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5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debt to equity ratio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5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2020-2023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long term debt to equity ratio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5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2020-2023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inventory turnover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5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i/>
          <w:iCs/>
          <w:sz w:val="24"/>
          <w:szCs w:val="24"/>
        </w:rPr>
        <w:t xml:space="preserve">fixed assets turnover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45">
        <w:rPr>
          <w:rFonts w:ascii="Times New Roman" w:hAnsi="Times New Roman" w:cs="Times New Roman"/>
          <w:sz w:val="24"/>
          <w:szCs w:val="24"/>
        </w:rPr>
        <w:t xml:space="preserve">2021, dan 2023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5145">
        <w:rPr>
          <w:rFonts w:ascii="Times New Roman" w:hAnsi="Times New Roman" w:cs="Times New Roman"/>
          <w:sz w:val="24"/>
          <w:szCs w:val="24"/>
        </w:rPr>
        <w:t>.</w:t>
      </w:r>
    </w:p>
    <w:p w14:paraId="22A43C93" w14:textId="77777777" w:rsidR="00506C0F" w:rsidRPr="002D5145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11B48E39" w14:textId="77777777" w:rsidR="00506C0F" w:rsidRDefault="00506C0F" w:rsidP="00506C0F">
      <w:pPr>
        <w:tabs>
          <w:tab w:val="left" w:pos="567"/>
          <w:tab w:val="left" w:leader="dot" w:pos="7513"/>
          <w:tab w:val="left" w:pos="7655"/>
        </w:tabs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145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D514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solvabilitas</w:t>
      </w:r>
      <w:proofErr w:type="spellEnd"/>
      <w:r w:rsidRPr="002D51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rasio</w:t>
      </w:r>
      <w:proofErr w:type="spellEnd"/>
      <w:r w:rsidRPr="002D5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145"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</w:p>
    <w:p w14:paraId="1A796402" w14:textId="0C059428" w:rsidR="009B5DBA" w:rsidRDefault="009B5DBA"/>
    <w:sectPr w:rsidR="009B5DBA" w:rsidSect="002A083F">
      <w:type w:val="continuous"/>
      <w:pgSz w:w="12191" w:h="18711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3F"/>
    <w:rsid w:val="002A083F"/>
    <w:rsid w:val="002E7DC0"/>
    <w:rsid w:val="00506C0F"/>
    <w:rsid w:val="00887F62"/>
    <w:rsid w:val="009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E683"/>
  <w15:chartTrackingRefBased/>
  <w15:docId w15:val="{69519047-2D22-465D-A6B6-92C8B01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</w:rPr>
    </w:rPrDefault>
    <w:pPrDefault>
      <w:pPr>
        <w:spacing w:after="200" w:line="480" w:lineRule="auto"/>
        <w:ind w:righ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0F"/>
    <w:pPr>
      <w:spacing w:line="276" w:lineRule="auto"/>
      <w:ind w:right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Zagita</dc:creator>
  <cp:keywords/>
  <dc:description/>
  <cp:lastModifiedBy>Tara Zagita</cp:lastModifiedBy>
  <cp:revision>1</cp:revision>
  <cp:lastPrinted>2024-07-12T08:28:00Z</cp:lastPrinted>
  <dcterms:created xsi:type="dcterms:W3CDTF">2024-07-12T08:11:00Z</dcterms:created>
  <dcterms:modified xsi:type="dcterms:W3CDTF">2024-07-12T08:29:00Z</dcterms:modified>
</cp:coreProperties>
</file>