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PENGARUH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WORK ENGAGEMENT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EMPOWERING LEADERSHIP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TERHADAP KINERJA GURU SD SEKECAMATAN KOBA KABUPATEN BANGKA TENGAH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GRADISKA OKTAVIYANTI YS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20236013085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ABSTRAK</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Tujuan penelitian ini adalah untuk menguji dan menganalisis ada atau tidak adanya pengaruh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work engagement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empowering leadership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secara bersama-sama terhadap kinerja guru Sekolah Dasar (SD) Sekecamatan Koba, Kabupaten Bangka Tengah. Penulis melakukan penelitian mulai dari Juni 2024 sampai Oktober 2024. Metode yang digunakan dalam penelitian ini adalah penelitian kuantitatif. Populasi dalam penelitian ini adalah seluruh guru SD di Kecamatan Koba, Kabupaten Bangka Tengah yang berjumlah 258 orang guru dari 19 sekolah. Dengan menggunakan rumus slovin diperoleh ukuran sampel sekitar 157 orang untuk 258 orang dengan tingkat kesalahan 5%. Pengumpulan data dalam penelitian ini menggunakan kuesioner. Uji coba instrument menggunakan uji validitas dan reliabilitas data. Teknik analisis data menggunakan uji normalitas, uji linieritas, uji multikolinieritas, uji autokorelasi Durbin Watson, uji heteroskedasitas, uji regresi linier sederhana dan uji regresi linier berganda. Hasil analisis menunjukkan bahwa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work engagement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empowering leadership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secara simultan memiliki pengaruh terhadap guru SD Sekecamatan Koba Kabupaten Bangka Tengah. Dengan demikian, kedua variabel berkontribusi positif terhadap kinerja guru.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Kata Kunci: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Empowering Leadership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Kinerja Guru,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Work Engagement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699" w:top="2275" w:left="2275" w:right="16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97"/>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d9f51911-20d9-3bdd-afee-b9fe31f515f9</vt:lpwstr>
  </property>
</Properties>
</file>