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69" w:rsidRDefault="00E34F69" w:rsidP="00E34F69">
      <w:pPr>
        <w:tabs>
          <w:tab w:val="left" w:pos="178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KINERJA KEUANGAN PADA PT INDO TAMBANGRAYA MEGAH TBK YANG TERDAFTAR DI BURSA EFEK INDONESIA (BEI) PRIODE 2018-2022</w:t>
      </w:r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Delva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Handayani</w:t>
      </w:r>
      <w:proofErr w:type="spellEnd"/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2020212032</w:t>
      </w:r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Abstrak</w:t>
      </w:r>
      <w:proofErr w:type="spellEnd"/>
    </w:p>
    <w:p w:rsidR="00E34F69" w:rsidRDefault="00E34F69" w:rsidP="00E34F6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4F69" w:rsidRDefault="00E34F69" w:rsidP="00E34F69">
      <w:pPr>
        <w:tabs>
          <w:tab w:val="left" w:pos="17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PT Indo </w:t>
      </w:r>
      <w:proofErr w:type="spellStart"/>
      <w:r>
        <w:rPr>
          <w:rFonts w:ascii="Times New Roman" w:hAnsi="Times New Roman" w:cs="Times New Roman"/>
          <w:sz w:val="24"/>
        </w:rPr>
        <w:t>Tambangraya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Tbk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Priode</w:t>
      </w:r>
      <w:proofErr w:type="spellEnd"/>
      <w:r>
        <w:rPr>
          <w:rFonts w:ascii="Times New Roman" w:hAnsi="Times New Roman" w:cs="Times New Roman"/>
          <w:sz w:val="24"/>
        </w:rPr>
        <w:t xml:space="preserve"> 2018-2022.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kualitatif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PT Indo </w:t>
      </w:r>
      <w:proofErr w:type="spellStart"/>
      <w:r>
        <w:rPr>
          <w:rFonts w:ascii="Times New Roman" w:hAnsi="Times New Roman" w:cs="Times New Roman"/>
          <w:sz w:val="24"/>
        </w:rPr>
        <w:t>Tambangraya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Tbk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2018-2022.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 w:rsidRPr="002D72C8">
        <w:rPr>
          <w:rFonts w:ascii="Times New Roman" w:hAnsi="Times New Roman" w:cs="Times New Roman"/>
          <w:i/>
          <w:sz w:val="24"/>
        </w:rPr>
        <w:t>current ratio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72C8">
        <w:rPr>
          <w:rFonts w:ascii="Times New Roman" w:hAnsi="Times New Roman" w:cs="Times New Roman"/>
          <w:i/>
          <w:sz w:val="24"/>
        </w:rPr>
        <w:t>cash ratio</w:t>
      </w:r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solvabilitas</w:t>
      </w:r>
      <w:proofErr w:type="spellEnd"/>
      <w:r>
        <w:rPr>
          <w:rFonts w:ascii="Times New Roman" w:hAnsi="Times New Roman" w:cs="Times New Roman"/>
          <w:sz w:val="24"/>
        </w:rPr>
        <w:t xml:space="preserve"> (DAR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DER),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r w:rsidRPr="00E76D98">
        <w:rPr>
          <w:rFonts w:ascii="Times New Roman" w:hAnsi="Times New Roman" w:cs="Times New Roman"/>
          <w:sz w:val="24"/>
        </w:rPr>
        <w:t>TATO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ROI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ROE).   </w:t>
      </w:r>
    </w:p>
    <w:p w:rsidR="00E34F69" w:rsidRDefault="00E34F69" w:rsidP="00E34F69">
      <w:pPr>
        <w:tabs>
          <w:tab w:val="left" w:pos="17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perhitungan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PT Indo </w:t>
      </w:r>
      <w:proofErr w:type="spellStart"/>
      <w:r>
        <w:rPr>
          <w:rFonts w:ascii="Times New Roman" w:hAnsi="Times New Roman" w:cs="Times New Roman"/>
          <w:sz w:val="24"/>
        </w:rPr>
        <w:t>Tambangraya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Tbk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2018-2022,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72C8">
        <w:rPr>
          <w:rFonts w:ascii="Times New Roman" w:hAnsi="Times New Roman" w:cs="Times New Roman"/>
          <w:i/>
          <w:sz w:val="24"/>
        </w:rPr>
        <w:t>current ratio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239%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200%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72C8">
        <w:rPr>
          <w:rFonts w:ascii="Times New Roman" w:hAnsi="Times New Roman" w:cs="Times New Roman"/>
          <w:i/>
          <w:sz w:val="24"/>
        </w:rPr>
        <w:t>cash ratio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141%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solvabilitas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6D98">
        <w:rPr>
          <w:rFonts w:ascii="Times New Roman" w:hAnsi="Times New Roman" w:cs="Times New Roman"/>
          <w:sz w:val="24"/>
        </w:rPr>
        <w:t>DAR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28%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35%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6D98">
        <w:rPr>
          <w:rFonts w:ascii="Times New Roman" w:hAnsi="Times New Roman" w:cs="Times New Roman"/>
          <w:sz w:val="24"/>
        </w:rPr>
        <w:t>DER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39%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90%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6D98">
        <w:rPr>
          <w:rFonts w:ascii="Times New Roman" w:hAnsi="Times New Roman" w:cs="Times New Roman"/>
          <w:sz w:val="24"/>
        </w:rPr>
        <w:t>TATO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128%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2 kali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200%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dianggap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6D98">
        <w:rPr>
          <w:rFonts w:ascii="Times New Roman" w:hAnsi="Times New Roman" w:cs="Times New Roman"/>
          <w:sz w:val="24"/>
        </w:rPr>
        <w:t>ROI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30%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76D98">
        <w:rPr>
          <w:rFonts w:ascii="Times New Roman" w:hAnsi="Times New Roman" w:cs="Times New Roman"/>
          <w:sz w:val="24"/>
        </w:rPr>
        <w:t>ROE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29%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industrinya</w:t>
      </w:r>
      <w:proofErr w:type="spellEnd"/>
      <w:r>
        <w:rPr>
          <w:rFonts w:ascii="Times New Roman" w:hAnsi="Times New Roman" w:cs="Times New Roman"/>
          <w:sz w:val="24"/>
        </w:rPr>
        <w:t xml:space="preserve"> 40%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34F69" w:rsidRDefault="00E34F69" w:rsidP="00E34F69">
      <w:pPr>
        <w:tabs>
          <w:tab w:val="left" w:pos="178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34F69" w:rsidRDefault="00E34F69" w:rsidP="00E34F69">
      <w:pPr>
        <w:tabs>
          <w:tab w:val="left" w:pos="178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Kinerja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Solvabilitas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0065B" w:rsidRDefault="0090065B"/>
    <w:sectPr w:rsidR="0090065B" w:rsidSect="00E34F69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69"/>
    <w:rsid w:val="0090065B"/>
    <w:rsid w:val="00E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2024-07-16T23:31:00Z</dcterms:created>
  <dcterms:modified xsi:type="dcterms:W3CDTF">2024-07-16T23:36:00Z</dcterms:modified>
</cp:coreProperties>
</file>